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6A" w:rsidRDefault="00114E22">
      <w:pPr>
        <w:spacing w:before="48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ПЕРВИННА МЕДИЧНА ДОПОМОГА</w:t>
      </w:r>
    </w:p>
    <w:p w:rsidR="00E4326A" w:rsidRDefault="00114E22">
      <w:pPr>
        <w:spacing w:before="240"/>
        <w:ind w:left="360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:rsidR="00E4326A" w:rsidRDefault="00114E2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4326A" w:rsidRDefault="00114E22">
      <w:pPr>
        <w:numPr>
          <w:ilvl w:val="0"/>
          <w:numId w:val="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 xml:space="preserve">Динамічне спостереження за станом здоров’я пацієнта/пацієнтки із використанням </w:t>
      </w:r>
      <w:proofErr w:type="spellStart"/>
      <w:r>
        <w:rPr>
          <w:rFonts w:ascii="Times New Roman" w:eastAsia="Times New Roman" w:hAnsi="Times New Roman" w:cs="Times New Roman"/>
        </w:rPr>
        <w:t>фізикальних</w:t>
      </w:r>
      <w:proofErr w:type="spellEnd"/>
      <w:r>
        <w:rPr>
          <w:rFonts w:ascii="Times New Roman" w:eastAsia="Times New Roman" w:hAnsi="Times New Roman" w:cs="Times New Roman"/>
        </w:rPr>
        <w:t>, лабораторних та інструментальних методів обстеження відповідно до галузевих стандартів у сфері охорони здоров’я.</w:t>
      </w:r>
    </w:p>
    <w:p w:rsidR="00E4326A" w:rsidRDefault="00114E22">
      <w:pPr>
        <w:numPr>
          <w:ilvl w:val="0"/>
          <w:numId w:val="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Діагностика та лікування найбільш поширених інфекці</w:t>
      </w:r>
      <w:r>
        <w:rPr>
          <w:rFonts w:ascii="Times New Roman" w:eastAsia="Times New Roman" w:hAnsi="Times New Roman" w:cs="Times New Roman"/>
        </w:rPr>
        <w:t>йних і неінфекційних хвороб, травм, отруєнь, патологічних, фізіологічних  станів.</w:t>
      </w:r>
    </w:p>
    <w:p w:rsidR="00E4326A" w:rsidRDefault="00114E22">
      <w:pPr>
        <w:numPr>
          <w:ilvl w:val="0"/>
          <w:numId w:val="8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Діагностика, лікування хронічних захворювань та динамічне спостереження за пацієнтами з даними захворюваннями.</w:t>
      </w:r>
    </w:p>
    <w:p w:rsidR="00E4326A" w:rsidRDefault="00114E22">
      <w:pPr>
        <w:numPr>
          <w:ilvl w:val="0"/>
          <w:numId w:val="8"/>
        </w:numPr>
        <w:shd w:val="clear" w:color="auto" w:fill="FFFFFF"/>
        <w:spacing w:after="240"/>
        <w:jc w:val="both"/>
      </w:pPr>
      <w:r>
        <w:rPr>
          <w:rFonts w:ascii="Times New Roman" w:eastAsia="Times New Roman" w:hAnsi="Times New Roman" w:cs="Times New Roman"/>
        </w:rPr>
        <w:t>Проведення лабораторних досліджень відповідно до галузевих стан</w:t>
      </w:r>
      <w:r>
        <w:rPr>
          <w:rFonts w:ascii="Times New Roman" w:eastAsia="Times New Roman" w:hAnsi="Times New Roman" w:cs="Times New Roman"/>
        </w:rPr>
        <w:t xml:space="preserve">дартів у сфері охорони здоров’я, зокрема: 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загальний аналіз крові з лейкоцитарною формулою (еритроцити, гемоглобін, гематокрит, тромбоцити, лейкоцити, базофіли, еозинофіли, </w:t>
      </w:r>
      <w:proofErr w:type="spellStart"/>
      <w:r>
        <w:rPr>
          <w:rFonts w:ascii="Times New Roman" w:eastAsia="Times New Roman" w:hAnsi="Times New Roman" w:cs="Times New Roman"/>
        </w:rPr>
        <w:t>сегментоядерні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нейтрофіли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паличкоядерні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нейтрофіли</w:t>
      </w:r>
      <w:proofErr w:type="spellEnd"/>
      <w:r>
        <w:rPr>
          <w:rFonts w:ascii="Times New Roman" w:eastAsia="Times New Roman" w:hAnsi="Times New Roman" w:cs="Times New Roman"/>
        </w:rPr>
        <w:t>, лімфоцити, мо</w:t>
      </w:r>
      <w:r>
        <w:rPr>
          <w:rFonts w:ascii="Times New Roman" w:eastAsia="Times New Roman" w:hAnsi="Times New Roman" w:cs="Times New Roman"/>
        </w:rPr>
        <w:t xml:space="preserve">ноцити); 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>загальний аналіз сечі (колір, прозорість, реакція (</w:t>
      </w:r>
      <w:proofErr w:type="spellStart"/>
      <w:r>
        <w:rPr>
          <w:rFonts w:ascii="Times New Roman" w:eastAsia="Times New Roman" w:hAnsi="Times New Roman" w:cs="Times New Roman"/>
        </w:rPr>
        <w:t>pH</w:t>
      </w:r>
      <w:proofErr w:type="spellEnd"/>
      <w:r>
        <w:rPr>
          <w:rFonts w:ascii="Times New Roman" w:eastAsia="Times New Roman" w:hAnsi="Times New Roman" w:cs="Times New Roman"/>
        </w:rPr>
        <w:t>), відносна щільність, білок, глюкоза, еритроцити, лейкоцити, епітеліальні клітини, циліндри, солі, бактерії, ацетон (кетонові тіла));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>глюкоза в цільній крові;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>холестерин загальний;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швидкі тести на вагітність, </w:t>
      </w:r>
      <w:proofErr w:type="spellStart"/>
      <w:r>
        <w:rPr>
          <w:rFonts w:ascii="Times New Roman" w:eastAsia="Times New Roman" w:hAnsi="Times New Roman" w:cs="Times New Roman"/>
        </w:rPr>
        <w:t>тропонін</w:t>
      </w:r>
      <w:proofErr w:type="spellEnd"/>
      <w:r>
        <w:rPr>
          <w:rFonts w:ascii="Times New Roman" w:eastAsia="Times New Roman" w:hAnsi="Times New Roman" w:cs="Times New Roman"/>
        </w:rPr>
        <w:t xml:space="preserve">, ВІЛ, вірусні гепатити В і С, </w:t>
      </w:r>
      <w:r>
        <w:rPr>
          <w:rFonts w:ascii="Times New Roman" w:eastAsia="Times New Roman" w:hAnsi="Times New Roman" w:cs="Times New Roman"/>
          <w:color w:val="444746"/>
        </w:rPr>
        <w:t>SARS-CoV-2</w:t>
      </w:r>
      <w:r>
        <w:rPr>
          <w:rFonts w:ascii="Times New Roman" w:eastAsia="Times New Roman" w:hAnsi="Times New Roman" w:cs="Times New Roman"/>
        </w:rPr>
        <w:t>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Проведення інструментальних досліджень, зокрема електрокардіографії, </w:t>
      </w:r>
      <w:proofErr w:type="spellStart"/>
      <w:r>
        <w:rPr>
          <w:rFonts w:ascii="Times New Roman" w:eastAsia="Times New Roman" w:hAnsi="Times New Roman" w:cs="Times New Roman"/>
        </w:rPr>
        <w:t>пікфлуометрії</w:t>
      </w:r>
      <w:proofErr w:type="spellEnd"/>
      <w:r>
        <w:rPr>
          <w:rFonts w:ascii="Times New Roman" w:eastAsia="Times New Roman" w:hAnsi="Times New Roman" w:cs="Times New Roman"/>
        </w:rPr>
        <w:t>, отоскопії, офтальмо</w:t>
      </w:r>
      <w:r>
        <w:rPr>
          <w:rFonts w:ascii="Times New Roman" w:eastAsia="Times New Roman" w:hAnsi="Times New Roman" w:cs="Times New Roman"/>
        </w:rPr>
        <w:t xml:space="preserve">скопії, </w:t>
      </w:r>
      <w:proofErr w:type="spellStart"/>
      <w:r>
        <w:rPr>
          <w:rFonts w:ascii="Times New Roman" w:eastAsia="Times New Roman" w:hAnsi="Times New Roman" w:cs="Times New Roman"/>
        </w:rPr>
        <w:t>камертональні</w:t>
      </w:r>
      <w:proofErr w:type="spellEnd"/>
      <w:r>
        <w:rPr>
          <w:rFonts w:ascii="Times New Roman" w:eastAsia="Times New Roman" w:hAnsi="Times New Roman" w:cs="Times New Roman"/>
        </w:rPr>
        <w:t xml:space="preserve"> тести, а також вимірювання гостроти зору.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>Динамічне спостереження за жінкою з неускладненим перебігом вагітності та  направлення її до лікаря-акушера-гінеколога відповідно до галузевих стандартів.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</w:rPr>
        <w:t>Зді</w:t>
      </w:r>
      <w:r>
        <w:rPr>
          <w:rFonts w:ascii="Times New Roman" w:eastAsia="Times New Roman" w:hAnsi="Times New Roman" w:cs="Times New Roman"/>
        </w:rPr>
        <w:t>йснення медичного спостереження за здоровою дитиною та надання рекомендацій батькам/опікунам щодо необхідності грудного вигодовування, правильного харчування та догляду за здоровою дитиною відповідно до галузевих стандартів у сфері охорони здоров’я.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</w:rPr>
        <w:t>Надання окремих послуг з питань психічного здоров’я, зокрема: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проведення </w:t>
      </w:r>
      <w:proofErr w:type="spellStart"/>
      <w:r>
        <w:rPr>
          <w:rFonts w:ascii="Times New Roman" w:eastAsia="Times New Roman" w:hAnsi="Times New Roman" w:cs="Times New Roman"/>
        </w:rPr>
        <w:t>скринінгу</w:t>
      </w:r>
      <w:proofErr w:type="spellEnd"/>
      <w:r>
        <w:rPr>
          <w:rFonts w:ascii="Times New Roman" w:eastAsia="Times New Roman" w:hAnsi="Times New Roman" w:cs="Times New Roman"/>
        </w:rPr>
        <w:t xml:space="preserve"> на виявлення розладів психічного здоров’я (клінічно </w:t>
      </w:r>
      <w:proofErr w:type="spellStart"/>
      <w:r>
        <w:rPr>
          <w:rFonts w:ascii="Times New Roman" w:eastAsia="Times New Roman" w:hAnsi="Times New Roman" w:cs="Times New Roman"/>
        </w:rPr>
        <w:t>діагностованих</w:t>
      </w:r>
      <w:proofErr w:type="spellEnd"/>
      <w:r>
        <w:rPr>
          <w:rFonts w:ascii="Times New Roman" w:eastAsia="Times New Roman" w:hAnsi="Times New Roman" w:cs="Times New Roman"/>
        </w:rPr>
        <w:t xml:space="preserve"> розладів, які суттєво впливають на когнітивні, емоційні або соціальні здібності людини</w:t>
      </w:r>
      <w:r>
        <w:rPr>
          <w:rFonts w:ascii="Times New Roman" w:eastAsia="Times New Roman" w:hAnsi="Times New Roman" w:cs="Times New Roman"/>
        </w:rPr>
        <w:t xml:space="preserve">),  а також неврологічних розладів та розладів, пов'язаних з вживанням </w:t>
      </w:r>
      <w:proofErr w:type="spellStart"/>
      <w:r>
        <w:rPr>
          <w:rFonts w:ascii="Times New Roman" w:eastAsia="Times New Roman" w:hAnsi="Times New Roman" w:cs="Times New Roman"/>
        </w:rPr>
        <w:t>психоактивних</w:t>
      </w:r>
      <w:proofErr w:type="spellEnd"/>
      <w:r>
        <w:rPr>
          <w:rFonts w:ascii="Times New Roman" w:eastAsia="Times New Roman" w:hAnsi="Times New Roman" w:cs="Times New Roman"/>
        </w:rPr>
        <w:t xml:space="preserve"> речовин (</w:t>
      </w:r>
      <w:proofErr w:type="spellStart"/>
      <w:r>
        <w:rPr>
          <w:rFonts w:ascii="Times New Roman" w:eastAsia="Times New Roman" w:hAnsi="Times New Roman" w:cs="Times New Roman"/>
        </w:rPr>
        <w:t>ПНПР-розлади</w:t>
      </w:r>
      <w:proofErr w:type="spellEnd"/>
      <w:r>
        <w:rPr>
          <w:rFonts w:ascii="Times New Roman" w:eastAsia="Times New Roman" w:hAnsi="Times New Roman" w:cs="Times New Roman"/>
        </w:rPr>
        <w:t xml:space="preserve">) у пацієнта/пацієнтки;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надання екстреної (кризової) психосоціальної допомоги </w:t>
      </w:r>
      <w:r>
        <w:rPr>
          <w:rFonts w:ascii="Times New Roman" w:eastAsia="Times New Roman" w:hAnsi="Times New Roman" w:cs="Times New Roman"/>
          <w:color w:val="333333"/>
        </w:rPr>
        <w:t xml:space="preserve">у разі гострої стресової реакції чи гострого переживання кризи </w:t>
      </w:r>
      <w:r>
        <w:rPr>
          <w:rFonts w:ascii="Times New Roman" w:eastAsia="Times New Roman" w:hAnsi="Times New Roman" w:cs="Times New Roman"/>
        </w:rPr>
        <w:t>з метою стабілізації психічного стану (в межах компетенції сімейного лікаря);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надання психосоціальної допомоги з метою недопущення загострення психосоціальних проблем, перетворення їх у хронічні форми чи попередження розвитку психічних та поведінкових розладів або інших проблем психічного здоров'я;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ведення пацієнта/пацієнт</w:t>
      </w:r>
      <w:r>
        <w:rPr>
          <w:rFonts w:ascii="Times New Roman" w:eastAsia="Times New Roman" w:hAnsi="Times New Roman" w:cs="Times New Roman"/>
        </w:rPr>
        <w:t xml:space="preserve">ки з </w:t>
      </w:r>
      <w:proofErr w:type="spellStart"/>
      <w:r>
        <w:rPr>
          <w:rFonts w:ascii="Times New Roman" w:eastAsia="Times New Roman" w:hAnsi="Times New Roman" w:cs="Times New Roman"/>
        </w:rPr>
        <w:t>ПНПР-розладами</w:t>
      </w:r>
      <w:proofErr w:type="spellEnd"/>
      <w:r>
        <w:rPr>
          <w:rFonts w:ascii="Times New Roman" w:eastAsia="Times New Roman" w:hAnsi="Times New Roman" w:cs="Times New Roman"/>
        </w:rPr>
        <w:t xml:space="preserve"> із застосуванням фармакотерапії та наданням психосоціальної допомоги в межах компетенції сімейного лікаря відповідно до НПА та програми </w:t>
      </w:r>
      <w:proofErr w:type="spellStart"/>
      <w:r>
        <w:rPr>
          <w:rFonts w:ascii="Times New Roman" w:eastAsia="Times New Roman" w:hAnsi="Times New Roman" w:cs="Times New Roman"/>
        </w:rPr>
        <w:t>mhGAP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здійснення профілактичних заходів щодо груп, сімей та окремих осіб, які мають найви</w:t>
      </w:r>
      <w:r>
        <w:rPr>
          <w:rFonts w:ascii="Times New Roman" w:eastAsia="Times New Roman" w:hAnsi="Times New Roman" w:cs="Times New Roman"/>
        </w:rPr>
        <w:t>щий ризик потрапляння у складні життєві обставини через вилив несприятливих зовнішніх та/або внутрішніх факторів;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видача за необхідності направлення пацієнту/пацієнтці з </w:t>
      </w:r>
      <w:proofErr w:type="spellStart"/>
      <w:r>
        <w:rPr>
          <w:rFonts w:ascii="Times New Roman" w:eastAsia="Times New Roman" w:hAnsi="Times New Roman" w:cs="Times New Roman"/>
        </w:rPr>
        <w:t>ПНПР-розладами</w:t>
      </w:r>
      <w:proofErr w:type="spellEnd"/>
      <w:r>
        <w:rPr>
          <w:rFonts w:ascii="Times New Roman" w:eastAsia="Times New Roman" w:hAnsi="Times New Roman" w:cs="Times New Roman"/>
        </w:rPr>
        <w:t xml:space="preserve"> за його/її згодою  та/або його/її законного представника до лі</w:t>
      </w:r>
      <w:r>
        <w:rPr>
          <w:rFonts w:ascii="Times New Roman" w:eastAsia="Times New Roman" w:hAnsi="Times New Roman" w:cs="Times New Roman"/>
        </w:rPr>
        <w:t>каря-психіатра та/або лікаря-психіатра дитячого, та/або лікаря-нарколога щодо консультування та лікування пацієнта/пацієнтки;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підвищення обізнаності, заохочення та супровід населення щодо збереження психічного здоров’я та добробуту.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Виявлення у пацієнта/пацієнтки  індивідуального ризику виникнення: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інфекційних захворювань (ВІЛ, вірусних гепатитів, інфекції, що передаються статевим шляхом, тощо)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неінфекційних (серцево-судинних, хронічних респіраторних, онкологічн</w:t>
      </w:r>
      <w:r>
        <w:rPr>
          <w:rFonts w:ascii="Times New Roman" w:eastAsia="Times New Roman" w:hAnsi="Times New Roman" w:cs="Times New Roman"/>
        </w:rPr>
        <w:t xml:space="preserve">их, діабету тощо) захворювань шляхом проведення </w:t>
      </w:r>
      <w:proofErr w:type="spellStart"/>
      <w:r>
        <w:rPr>
          <w:rFonts w:ascii="Times New Roman" w:eastAsia="Times New Roman" w:hAnsi="Times New Roman" w:cs="Times New Roman"/>
        </w:rPr>
        <w:t>скринінгових</w:t>
      </w:r>
      <w:proofErr w:type="spellEnd"/>
      <w:r>
        <w:rPr>
          <w:rFonts w:ascii="Times New Roman" w:eastAsia="Times New Roman" w:hAnsi="Times New Roman" w:cs="Times New Roman"/>
        </w:rPr>
        <w:t xml:space="preserve"> анкетувань, оцінювання загального серцево-судинного ризику за шкалою SCORE, індексу маси тіла, окружності талії тощо.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>Профілактика, діагностика та раннє виявлення інфекційних захво</w:t>
      </w:r>
      <w:r>
        <w:rPr>
          <w:rFonts w:ascii="Times New Roman" w:eastAsia="Times New Roman" w:hAnsi="Times New Roman" w:cs="Times New Roman"/>
        </w:rPr>
        <w:t xml:space="preserve">рювань (ВІЛ, гепатити, інфекції, що передаються статевим шляхом, тощо). 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>Профілактика, діагностика та раннє виявлення  туберкульозу , а саме: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здійснення активного та пасивного виявлення туберкульозу та латентної туберкульозної інфек</w:t>
      </w:r>
      <w:r>
        <w:rPr>
          <w:rFonts w:ascii="Times New Roman" w:eastAsia="Times New Roman" w:hAnsi="Times New Roman" w:cs="Times New Roman"/>
        </w:rPr>
        <w:t>ції (ЛТБІ);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забезпечення організації та проведення додаткового клініко-інструментального обстеження осіб із симптомами, що можуть свідчити про захворювання на туберкульоз;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надання медичних послуг з діагностики та лікування ЛТБІ (відповідн</w:t>
      </w:r>
      <w:r>
        <w:rPr>
          <w:rFonts w:ascii="Times New Roman" w:eastAsia="Times New Roman" w:hAnsi="Times New Roman" w:cs="Times New Roman"/>
        </w:rPr>
        <w:t>о до</w:t>
      </w:r>
      <w:r w:rsidRPr="005406F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галузевих стандартів у сфері охорони здоров’я);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організація виявлення та обстеження контактних щодо туберкульозу осіб, зокрема, із залученням лікарів-фтизіатрів, які надають амбулаторну спеціалізовану медичну допомогу на базі інших ЗОЗ, та фа</w:t>
      </w:r>
      <w:r>
        <w:rPr>
          <w:rFonts w:ascii="Times New Roman" w:eastAsia="Times New Roman" w:hAnsi="Times New Roman" w:cs="Times New Roman"/>
        </w:rPr>
        <w:t>хівців територіального закладу громадського здоров’я.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Надання окремих послуг </w:t>
      </w:r>
      <w:r>
        <w:rPr>
          <w:rFonts w:ascii="Times New Roman" w:eastAsia="Times New Roman" w:hAnsi="Times New Roman" w:cs="Times New Roman"/>
          <w:i/>
        </w:rPr>
        <w:t xml:space="preserve">паліативної допомоги </w:t>
      </w:r>
      <w:r>
        <w:rPr>
          <w:rFonts w:ascii="Times New Roman" w:eastAsia="Times New Roman" w:hAnsi="Times New Roman" w:cs="Times New Roman"/>
        </w:rPr>
        <w:t xml:space="preserve">дорослим та дітям, а саме: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оцінка стану пацієнта/пацієнтки, що потребує паліативної допомоги, та визначення його/її потреб;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оцінка ступеня болю та лікування больового синдрому;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виписка рецептів для лікування больового синдрому, включаючи </w:t>
      </w:r>
      <w:proofErr w:type="spellStart"/>
      <w:r>
        <w:rPr>
          <w:rFonts w:ascii="Times New Roman" w:eastAsia="Times New Roman" w:hAnsi="Times New Roman" w:cs="Times New Roman"/>
        </w:rPr>
        <w:t>опіоїди</w:t>
      </w:r>
      <w:proofErr w:type="spellEnd"/>
      <w:r>
        <w:rPr>
          <w:rFonts w:ascii="Times New Roman" w:eastAsia="Times New Roman" w:hAnsi="Times New Roman" w:cs="Times New Roman"/>
        </w:rPr>
        <w:t xml:space="preserve"> та інші лікарські засоби, що визначені Національним переліком основних лікарських засобів;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призначення лік</w:t>
      </w:r>
      <w:r>
        <w:rPr>
          <w:rFonts w:ascii="Times New Roman" w:eastAsia="Times New Roman" w:hAnsi="Times New Roman" w:cs="Times New Roman"/>
        </w:rPr>
        <w:t xml:space="preserve">ування для подолання супутніх симптомів (закрепи, нудота, задуха тощо); </w:t>
      </w:r>
    </w:p>
    <w:p w:rsidR="00E4326A" w:rsidRDefault="00114E22">
      <w:pPr>
        <w:shd w:val="clear" w:color="auto" w:fill="FFFFFF"/>
        <w:spacing w:before="240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>координація та співпраця з іншими установами для забезпечення медичних, психологічних, соціальних та інших потреб пацієнта/пацієнтки.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>Надання невідкладної меди</w:t>
      </w:r>
      <w:r>
        <w:rPr>
          <w:rFonts w:ascii="Times New Roman" w:eastAsia="Times New Roman" w:hAnsi="Times New Roman" w:cs="Times New Roman"/>
        </w:rPr>
        <w:t>чної допомоги пацієнту/пацієнтці у разі розладу фізичного чи психічного здоров’я, якщо такий розлад стався під час прийому у лікаря ПМД.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>Виклик бригади екстреної (швидкої) медичної допомоги до пацієнта/пацієнтки, який/яка перебуває у загрозл</w:t>
      </w:r>
      <w:r>
        <w:rPr>
          <w:rFonts w:ascii="Times New Roman" w:eastAsia="Times New Roman" w:hAnsi="Times New Roman" w:cs="Times New Roman"/>
        </w:rPr>
        <w:t xml:space="preserve">ивому для життя стані, та надання йому/їй відповідної медичної допомоги до її прибуття в межах робочого часу надавача ПМД та відповідно при визначенні такої потреби під час надання медичних послуг за місцем розташування надавача або проживання/перебування </w:t>
      </w:r>
      <w:r>
        <w:rPr>
          <w:rFonts w:ascii="Times New Roman" w:eastAsia="Times New Roman" w:hAnsi="Times New Roman" w:cs="Times New Roman"/>
        </w:rPr>
        <w:t>пацієнта/пацієнтки.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Проведення профілактичних заходів, спрямованих на зменшення інфекційних захворювань серед дорослого та дитячого населення, зокрема вакцинації згідно з календарем профілактичних щеплень (вакцинація за віком, вакцинація за </w:t>
      </w:r>
      <w:r>
        <w:rPr>
          <w:rFonts w:ascii="Times New Roman" w:eastAsia="Times New Roman" w:hAnsi="Times New Roman" w:cs="Times New Roman"/>
        </w:rPr>
        <w:t xml:space="preserve">станом здоров’я, вакцинація за епідемічними показаннями, щеплення дітей з порушенням календаря, рекомендованих щеплень та екстреної імунопрофілактики (крім сказу). 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>Надання консультативної допомоги населенню щодо здорового способу життя, зах</w:t>
      </w:r>
      <w:r>
        <w:rPr>
          <w:rFonts w:ascii="Times New Roman" w:eastAsia="Times New Roman" w:hAnsi="Times New Roman" w:cs="Times New Roman"/>
        </w:rPr>
        <w:t>одів загальної гігієни та бар’єрних заходів захисту (використання засобів індивідуального захисту, у тому числі презервативів), наслідків нездорового способу життя, важливості відмови від куріння та ризиків зловживання алкоголем, важливості збільшення фізи</w:t>
      </w:r>
      <w:r>
        <w:rPr>
          <w:rFonts w:ascii="Times New Roman" w:eastAsia="Times New Roman" w:hAnsi="Times New Roman" w:cs="Times New Roman"/>
        </w:rPr>
        <w:t>чної активності та здорового харчування, вакцинації.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Призначення лікарських засобів пацієнту/пацієнтці, а також  визначення його/її потреби в медичних виробах з подальшим оформленням відповідних документів для їх отримання згідно з вимогами </w:t>
      </w:r>
      <w:r>
        <w:rPr>
          <w:rFonts w:ascii="Times New Roman" w:eastAsia="Times New Roman" w:hAnsi="Times New Roman" w:cs="Times New Roman"/>
        </w:rPr>
        <w:t>законодавства.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Виписування рецептів для отримання лікарських засобів, які передбачені програмою </w:t>
      </w:r>
      <w:proofErr w:type="spellStart"/>
      <w:r>
        <w:rPr>
          <w:rFonts w:ascii="Times New Roman" w:eastAsia="Times New Roman" w:hAnsi="Times New Roman" w:cs="Times New Roman"/>
        </w:rPr>
        <w:t>реімбурсації</w:t>
      </w:r>
      <w:proofErr w:type="spellEnd"/>
      <w:r>
        <w:rPr>
          <w:rFonts w:ascii="Times New Roman" w:eastAsia="Times New Roman" w:hAnsi="Times New Roman" w:cs="Times New Roman"/>
        </w:rPr>
        <w:t>, та для пільгового забезпечення лікарськими засобами окремих груп населення за певними категоріями захворювань відповідно до чинного</w:t>
      </w:r>
      <w:r>
        <w:rPr>
          <w:rFonts w:ascii="Times New Roman" w:eastAsia="Times New Roman" w:hAnsi="Times New Roman" w:cs="Times New Roman"/>
        </w:rPr>
        <w:t xml:space="preserve"> законодавства.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Надання медичної допомоги методами і засобами </w:t>
      </w:r>
      <w:proofErr w:type="spellStart"/>
      <w:r>
        <w:rPr>
          <w:rFonts w:ascii="Times New Roman" w:eastAsia="Times New Roman" w:hAnsi="Times New Roman" w:cs="Times New Roman"/>
        </w:rPr>
        <w:t>телемедицини</w:t>
      </w:r>
      <w:proofErr w:type="spellEnd"/>
      <w:r>
        <w:rPr>
          <w:rFonts w:ascii="Times New Roman" w:eastAsia="Times New Roman" w:hAnsi="Times New Roman" w:cs="Times New Roman"/>
        </w:rPr>
        <w:t xml:space="preserve"> в дистанційний спосіб  (</w:t>
      </w:r>
      <w:proofErr w:type="spellStart"/>
      <w:r>
        <w:rPr>
          <w:rFonts w:ascii="Times New Roman" w:eastAsia="Times New Roman" w:hAnsi="Times New Roman" w:cs="Times New Roman"/>
        </w:rPr>
        <w:t>телеконсультування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телевідеоконсультування</w:t>
      </w:r>
      <w:proofErr w:type="spellEnd"/>
      <w:r>
        <w:rPr>
          <w:rFonts w:ascii="Times New Roman" w:eastAsia="Times New Roman" w:hAnsi="Times New Roman" w:cs="Times New Roman"/>
        </w:rPr>
        <w:t xml:space="preserve"> у режимі реального або відкладеного часу, </w:t>
      </w:r>
      <w:proofErr w:type="spellStart"/>
      <w:r>
        <w:rPr>
          <w:rFonts w:ascii="Times New Roman" w:eastAsia="Times New Roman" w:hAnsi="Times New Roman" w:cs="Times New Roman"/>
        </w:rPr>
        <w:t>теледіагностики</w:t>
      </w:r>
      <w:proofErr w:type="spellEnd"/>
      <w:r>
        <w:rPr>
          <w:rFonts w:ascii="Times New Roman" w:eastAsia="Times New Roman" w:hAnsi="Times New Roman" w:cs="Times New Roman"/>
        </w:rPr>
        <w:t>, спостереження у режимі віддаленого моніторингу,) разом з обстеженням, т</w:t>
      </w:r>
      <w:r>
        <w:rPr>
          <w:rFonts w:ascii="Times New Roman" w:eastAsia="Times New Roman" w:hAnsi="Times New Roman" w:cs="Times New Roman"/>
        </w:rPr>
        <w:t xml:space="preserve">а із застосуванням інших методів, що не суперечать законодавству, з обов’язковим створенням медичного запису про медичний огляд, надання консультації або лікування відповідно до Порядку ведення Реєстру медичних записів, </w:t>
      </w:r>
      <w:proofErr w:type="spellStart"/>
      <w:r>
        <w:rPr>
          <w:rFonts w:ascii="Times New Roman" w:eastAsia="Times New Roman" w:hAnsi="Times New Roman" w:cs="Times New Roman"/>
        </w:rPr>
        <w:t>записів</w:t>
      </w:r>
      <w:proofErr w:type="spellEnd"/>
      <w:r>
        <w:rPr>
          <w:rFonts w:ascii="Times New Roman" w:eastAsia="Times New Roman" w:hAnsi="Times New Roman" w:cs="Times New Roman"/>
        </w:rPr>
        <w:t xml:space="preserve"> про направлення та рецептів </w:t>
      </w:r>
      <w:r>
        <w:rPr>
          <w:rFonts w:ascii="Times New Roman" w:eastAsia="Times New Roman" w:hAnsi="Times New Roman" w:cs="Times New Roman"/>
        </w:rPr>
        <w:t>в електронній системі охорони здоров’я.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Забезпечення можливості запису на прийом до лікаря для отримання пацієнтом медичної допомоги із застосуванням </w:t>
      </w:r>
      <w:proofErr w:type="spellStart"/>
      <w:r>
        <w:rPr>
          <w:rFonts w:ascii="Times New Roman" w:eastAsia="Times New Roman" w:hAnsi="Times New Roman" w:cs="Times New Roman"/>
        </w:rPr>
        <w:t>телемедицини</w:t>
      </w:r>
      <w:proofErr w:type="spellEnd"/>
      <w:r>
        <w:rPr>
          <w:rFonts w:ascii="Times New Roman" w:eastAsia="Times New Roman" w:hAnsi="Times New Roman" w:cs="Times New Roman"/>
        </w:rPr>
        <w:t xml:space="preserve"> особисто, по телефону, електронною поштою або системами електронної охорони зд</w:t>
      </w:r>
      <w:r>
        <w:rPr>
          <w:rFonts w:ascii="Times New Roman" w:eastAsia="Times New Roman" w:hAnsi="Times New Roman" w:cs="Times New Roman"/>
        </w:rPr>
        <w:t>оров’я та іншими доступними технічними засобами електронних комунікацій.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>Видача довідок, медичних висновків про тимчасову непрацездатність, направлень для проходження медико-соціальної експертизи, а також лікарських свідоцтв про смерть та ін</w:t>
      </w:r>
      <w:r>
        <w:rPr>
          <w:rFonts w:ascii="Times New Roman" w:eastAsia="Times New Roman" w:hAnsi="Times New Roman" w:cs="Times New Roman"/>
        </w:rPr>
        <w:t>ших документів установленого зразка, які необхідні пацієнту/пацієнтці згідно з вимогами чинного законодавства в межах робочого часу надавача ПМД.</w:t>
      </w:r>
    </w:p>
    <w:p w:rsidR="00E4326A" w:rsidRDefault="00114E2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Дотримання принципів </w:t>
      </w:r>
      <w:proofErr w:type="spellStart"/>
      <w:r>
        <w:rPr>
          <w:rFonts w:ascii="Times New Roman" w:eastAsia="Times New Roman" w:hAnsi="Times New Roman" w:cs="Times New Roman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</w:rPr>
        <w:t xml:space="preserve"> та інклюзії при наданні медичної допомоги, у тому числі з в</w:t>
      </w:r>
      <w:r>
        <w:rPr>
          <w:rFonts w:ascii="Times New Roman" w:eastAsia="Times New Roman" w:hAnsi="Times New Roman" w:cs="Times New Roman"/>
        </w:rPr>
        <w:t xml:space="preserve">икористанням методів і засобів </w:t>
      </w:r>
      <w:proofErr w:type="spellStart"/>
      <w:r>
        <w:rPr>
          <w:rFonts w:ascii="Times New Roman" w:eastAsia="Times New Roman" w:hAnsi="Times New Roman" w:cs="Times New Roman"/>
        </w:rPr>
        <w:t>телемедицини</w:t>
      </w:r>
      <w:proofErr w:type="spellEnd"/>
      <w:r>
        <w:rPr>
          <w:rFonts w:ascii="Times New Roman" w:eastAsia="Times New Roman" w:hAnsi="Times New Roman" w:cs="Times New Roman"/>
        </w:rPr>
        <w:t xml:space="preserve"> відповідно до нормативно-правових актів.</w:t>
      </w:r>
    </w:p>
    <w:p w:rsidR="00E4326A" w:rsidRDefault="00114E22">
      <w:pPr>
        <w:shd w:val="clear" w:color="auto" w:fill="FFFFFF"/>
        <w:ind w:left="-18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E4326A" w:rsidRDefault="00114E22">
      <w:pPr>
        <w:shd w:val="clear" w:color="auto" w:fill="FFFFFF"/>
        <w:ind w:left="-18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 </w:t>
      </w:r>
    </w:p>
    <w:p w:rsidR="00E4326A" w:rsidRDefault="00114E22">
      <w:pPr>
        <w:shd w:val="clear" w:color="auto" w:fill="FFFFFF"/>
        <w:ind w:left="-18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Послуга </w:t>
      </w:r>
      <w:r>
        <w:rPr>
          <w:rFonts w:ascii="Times New Roman" w:eastAsia="Times New Roman" w:hAnsi="Times New Roman" w:cs="Times New Roman"/>
          <w:b/>
          <w:i/>
        </w:rPr>
        <w:t xml:space="preserve"> “</w:t>
      </w:r>
      <w:r>
        <w:rPr>
          <w:rFonts w:ascii="Times New Roman" w:eastAsia="Times New Roman" w:hAnsi="Times New Roman" w:cs="Times New Roman"/>
          <w:b/>
          <w:i/>
        </w:rPr>
        <w:t>Супровід та лікування дорослих та дітей, хворих на туберкульоз, на первинному рівні медичної допомоги”</w:t>
      </w:r>
      <w:r>
        <w:rPr>
          <w:rFonts w:ascii="Times New Roman" w:eastAsia="Times New Roman" w:hAnsi="Times New Roman" w:cs="Times New Roman"/>
          <w:i/>
        </w:rPr>
        <w:t>):</w:t>
      </w:r>
    </w:p>
    <w:p w:rsidR="00E4326A" w:rsidRDefault="00114E22">
      <w:pPr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Визначення спільно з пацієнтом/пацієнткою амбулаторної моделі підтримки лікування (підтримка лікування за допомогою </w:t>
      </w:r>
      <w:proofErr w:type="spellStart"/>
      <w:r>
        <w:rPr>
          <w:rFonts w:ascii="Times New Roman" w:eastAsia="Times New Roman" w:hAnsi="Times New Roman" w:cs="Times New Roman"/>
        </w:rPr>
        <w:t>телемедичних</w:t>
      </w:r>
      <w:proofErr w:type="spellEnd"/>
      <w:r>
        <w:rPr>
          <w:rFonts w:ascii="Times New Roman" w:eastAsia="Times New Roman" w:hAnsi="Times New Roman" w:cs="Times New Roman"/>
        </w:rPr>
        <w:t xml:space="preserve"> засобів, підтримка лікування під наглядом надавачів медичних послуг, підтримка лікування за місцем проживання тощо), враховуючи</w:t>
      </w:r>
      <w:r>
        <w:rPr>
          <w:rFonts w:ascii="Times New Roman" w:eastAsia="Times New Roman" w:hAnsi="Times New Roman" w:cs="Times New Roman"/>
        </w:rPr>
        <w:t xml:space="preserve"> рекомендації лікаря-фтизіатра та інших лікарів.</w:t>
      </w:r>
    </w:p>
    <w:p w:rsidR="00E4326A" w:rsidRDefault="00114E22">
      <w:pPr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Динамічне спостереження за станом здоров’я пацієнта/пацієнтки з діагнозом туберкульоз (ТБ).</w:t>
      </w:r>
    </w:p>
    <w:p w:rsidR="00E4326A" w:rsidRDefault="00114E22">
      <w:pPr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Забезпечення направлення пацієнтів на лабораторні та інструментальні обстеження  відповідно до плану лікування до р</w:t>
      </w:r>
      <w:r>
        <w:rPr>
          <w:rFonts w:ascii="Times New Roman" w:eastAsia="Times New Roman" w:hAnsi="Times New Roman" w:cs="Times New Roman"/>
        </w:rPr>
        <w:t xml:space="preserve">егіонального </w:t>
      </w:r>
      <w:proofErr w:type="spellStart"/>
      <w:r>
        <w:rPr>
          <w:rFonts w:ascii="Times New Roman" w:eastAsia="Times New Roman" w:hAnsi="Times New Roman" w:cs="Times New Roman"/>
        </w:rPr>
        <w:t>фтизіопульмонологічного</w:t>
      </w:r>
      <w:proofErr w:type="spellEnd"/>
      <w:r>
        <w:rPr>
          <w:rFonts w:ascii="Times New Roman" w:eastAsia="Times New Roman" w:hAnsi="Times New Roman" w:cs="Times New Roman"/>
        </w:rPr>
        <w:t xml:space="preserve"> центру та/або до інших закладів охорони здоров'я.</w:t>
      </w:r>
    </w:p>
    <w:p w:rsidR="00E4326A" w:rsidRDefault="00114E22">
      <w:pPr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 xml:space="preserve">Організація забору та транспортування </w:t>
      </w:r>
      <w:proofErr w:type="spellStart"/>
      <w:r>
        <w:rPr>
          <w:rFonts w:ascii="Times New Roman" w:eastAsia="Times New Roman" w:hAnsi="Times New Roman" w:cs="Times New Roman"/>
        </w:rPr>
        <w:t>біоматеріалу</w:t>
      </w:r>
      <w:proofErr w:type="spellEnd"/>
      <w:r>
        <w:rPr>
          <w:rFonts w:ascii="Times New Roman" w:eastAsia="Times New Roman" w:hAnsi="Times New Roman" w:cs="Times New Roman"/>
        </w:rPr>
        <w:t xml:space="preserve"> пацієнта/пацієнтки для виконання бактеріологічних досліджень до регіонального </w:t>
      </w:r>
      <w:proofErr w:type="spellStart"/>
      <w:r>
        <w:rPr>
          <w:rFonts w:ascii="Times New Roman" w:eastAsia="Times New Roman" w:hAnsi="Times New Roman" w:cs="Times New Roman"/>
        </w:rPr>
        <w:t>фтизіопульмонологічного</w:t>
      </w:r>
      <w:proofErr w:type="spellEnd"/>
      <w:r>
        <w:rPr>
          <w:rFonts w:ascii="Times New Roman" w:eastAsia="Times New Roman" w:hAnsi="Times New Roman" w:cs="Times New Roman"/>
        </w:rPr>
        <w:t xml:space="preserve"> центру.</w:t>
      </w:r>
    </w:p>
    <w:p w:rsidR="00E4326A" w:rsidRDefault="00114E22">
      <w:pPr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</w:rPr>
        <w:t>Видача т</w:t>
      </w:r>
      <w:r>
        <w:rPr>
          <w:rFonts w:ascii="Times New Roman" w:eastAsia="Times New Roman" w:hAnsi="Times New Roman" w:cs="Times New Roman"/>
        </w:rPr>
        <w:t>а контроль за прийомом протитуберкульозних засобів, призначених лікарем-фтизіатром.</w:t>
      </w:r>
    </w:p>
    <w:p w:rsidR="00E4326A" w:rsidRDefault="00114E22">
      <w:pPr>
        <w:numPr>
          <w:ilvl w:val="0"/>
          <w:numId w:val="2"/>
        </w:numPr>
        <w:shd w:val="clear" w:color="auto" w:fill="FFFFFF"/>
        <w:spacing w:after="240"/>
        <w:jc w:val="both"/>
      </w:pPr>
      <w:r>
        <w:rPr>
          <w:rFonts w:ascii="Times New Roman" w:eastAsia="Times New Roman" w:hAnsi="Times New Roman" w:cs="Times New Roman"/>
        </w:rPr>
        <w:t>Проведення індивідуальної профілактичної роботи з пацієнтом/пацієнткою, хворими на ТБ, спрямованої на навчання санітарно-гігієнічним навичкам і зниження ймовірності передач</w:t>
      </w:r>
      <w:r>
        <w:rPr>
          <w:rFonts w:ascii="Times New Roman" w:eastAsia="Times New Roman" w:hAnsi="Times New Roman" w:cs="Times New Roman"/>
        </w:rPr>
        <w:t>і мікобактерій туберкульозу іншим особам та контролю за туберкульозом.</w:t>
      </w:r>
    </w:p>
    <w:p w:rsidR="00E4326A" w:rsidRDefault="00114E22">
      <w:pPr>
        <w:shd w:val="clear" w:color="auto" w:fill="FFFFFF"/>
        <w:ind w:left="860" w:hanging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4326A" w:rsidRDefault="00114E22">
      <w:pPr>
        <w:shd w:val="clear" w:color="auto" w:fill="FFFFFF"/>
        <w:ind w:left="8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4326A" w:rsidRDefault="00114E22">
      <w:pPr>
        <w:spacing w:before="240" w:after="240"/>
      </w:pPr>
      <w:r>
        <w:t xml:space="preserve"> </w:t>
      </w:r>
      <w:bookmarkStart w:id="0" w:name="_GoBack"/>
      <w:bookmarkEnd w:id="0"/>
    </w:p>
    <w:sectPr w:rsidR="00E432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84C"/>
    <w:multiLevelType w:val="multilevel"/>
    <w:tmpl w:val="9E8C0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9DD0CE8"/>
    <w:multiLevelType w:val="multilevel"/>
    <w:tmpl w:val="9984F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406509E"/>
    <w:multiLevelType w:val="multilevel"/>
    <w:tmpl w:val="F47A7DC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61A139D"/>
    <w:multiLevelType w:val="multilevel"/>
    <w:tmpl w:val="50449C08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01A4D96"/>
    <w:multiLevelType w:val="multilevel"/>
    <w:tmpl w:val="89A285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0B04652"/>
    <w:multiLevelType w:val="multilevel"/>
    <w:tmpl w:val="0D689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B896227"/>
    <w:multiLevelType w:val="multilevel"/>
    <w:tmpl w:val="7E7E0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78776D4"/>
    <w:multiLevelType w:val="multilevel"/>
    <w:tmpl w:val="D7822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8222F8B"/>
    <w:multiLevelType w:val="multilevel"/>
    <w:tmpl w:val="529ED0CE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C460783"/>
    <w:multiLevelType w:val="multilevel"/>
    <w:tmpl w:val="BF584068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8DA0543"/>
    <w:multiLevelType w:val="multilevel"/>
    <w:tmpl w:val="2E84F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C4E0CE9"/>
    <w:multiLevelType w:val="multilevel"/>
    <w:tmpl w:val="DB8AC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55B13E5B"/>
    <w:multiLevelType w:val="multilevel"/>
    <w:tmpl w:val="D3BA1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60BE2E5E"/>
    <w:multiLevelType w:val="multilevel"/>
    <w:tmpl w:val="F7808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660D3D30"/>
    <w:multiLevelType w:val="multilevel"/>
    <w:tmpl w:val="20BE6E8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94F5B27"/>
    <w:multiLevelType w:val="multilevel"/>
    <w:tmpl w:val="64D018B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AFE65D4"/>
    <w:multiLevelType w:val="multilevel"/>
    <w:tmpl w:val="6C183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6CE7365A"/>
    <w:multiLevelType w:val="multilevel"/>
    <w:tmpl w:val="A0988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6FAA1D34"/>
    <w:multiLevelType w:val="multilevel"/>
    <w:tmpl w:val="2974D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74AF341A"/>
    <w:multiLevelType w:val="multilevel"/>
    <w:tmpl w:val="07D248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78982EB9"/>
    <w:multiLevelType w:val="multilevel"/>
    <w:tmpl w:val="7C50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16"/>
  </w:num>
  <w:num w:numId="12">
    <w:abstractNumId w:val="2"/>
  </w:num>
  <w:num w:numId="13">
    <w:abstractNumId w:val="17"/>
  </w:num>
  <w:num w:numId="14">
    <w:abstractNumId w:val="20"/>
  </w:num>
  <w:num w:numId="15">
    <w:abstractNumId w:val="1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326A"/>
    <w:rsid w:val="00114E22"/>
    <w:rsid w:val="005406F4"/>
    <w:rsid w:val="00E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2</cp:revision>
  <dcterms:created xsi:type="dcterms:W3CDTF">2025-05-27T06:59:00Z</dcterms:created>
  <dcterms:modified xsi:type="dcterms:W3CDTF">2025-05-27T07:36:00Z</dcterms:modified>
</cp:coreProperties>
</file>